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6F9" w:rsidRDefault="00B216F9">
      <w:pPr>
        <w:spacing w:line="360" w:lineRule="auto"/>
        <w:ind w:firstLineChars="200" w:firstLine="480"/>
        <w:jc w:val="center"/>
        <w:rPr>
          <w:szCs w:val="24"/>
        </w:rPr>
      </w:pPr>
    </w:p>
    <w:p w:rsidR="00B216F9" w:rsidRDefault="008B2F3A">
      <w:pPr>
        <w:pStyle w:val="1"/>
        <w:spacing w:line="360" w:lineRule="auto"/>
        <w:ind w:firstLine="200"/>
        <w:jc w:val="center"/>
        <w:rPr>
          <w:sz w:val="72"/>
          <w:szCs w:val="72"/>
        </w:rPr>
      </w:pPr>
      <w:bookmarkStart w:id="0" w:name="_Toc50991113"/>
      <w:r w:rsidRPr="008B2F3A">
        <w:rPr>
          <w:rFonts w:hint="eastAsia"/>
          <w:sz w:val="72"/>
          <w:szCs w:val="72"/>
        </w:rPr>
        <w:t>广东农垦国资电子交易平台</w:t>
      </w:r>
      <w:bookmarkEnd w:id="0"/>
    </w:p>
    <w:p w:rsidR="00B216F9" w:rsidRDefault="00B216F9">
      <w:pPr>
        <w:spacing w:line="360" w:lineRule="auto"/>
        <w:ind w:firstLineChars="200" w:firstLine="480"/>
        <w:jc w:val="center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jc w:val="center"/>
        <w:rPr>
          <w:szCs w:val="24"/>
        </w:rPr>
      </w:pPr>
    </w:p>
    <w:p w:rsidR="00B216F9" w:rsidRDefault="00F651AC">
      <w:pPr>
        <w:spacing w:line="360" w:lineRule="auto"/>
        <w:ind w:firstLine="200"/>
        <w:jc w:val="center"/>
        <w:rPr>
          <w:sz w:val="72"/>
          <w:szCs w:val="72"/>
        </w:rPr>
      </w:pPr>
      <w:r>
        <w:rPr>
          <w:rFonts w:ascii="宋体" w:hAnsi="宋体" w:cs="宋体" w:hint="eastAsia"/>
          <w:sz w:val="72"/>
          <w:szCs w:val="72"/>
        </w:rPr>
        <w:t>采购业务</w:t>
      </w:r>
      <w:r>
        <w:rPr>
          <w:rFonts w:ascii="宋体" w:hAnsi="宋体" w:cs="宋体"/>
          <w:sz w:val="72"/>
          <w:szCs w:val="72"/>
        </w:rPr>
        <w:t>操作手册</w:t>
      </w:r>
    </w:p>
    <w:p w:rsidR="00B216F9" w:rsidRDefault="00B216F9">
      <w:pPr>
        <w:spacing w:line="360" w:lineRule="auto"/>
        <w:ind w:firstLineChars="200" w:firstLine="480"/>
        <w:jc w:val="center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jc w:val="center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jc w:val="center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jc w:val="center"/>
        <w:rPr>
          <w:szCs w:val="24"/>
        </w:rPr>
      </w:pPr>
    </w:p>
    <w:p w:rsidR="00B216F9" w:rsidRDefault="00F651AC">
      <w:pPr>
        <w:spacing w:line="360" w:lineRule="auto"/>
        <w:ind w:firstLine="200"/>
        <w:jc w:val="center"/>
        <w:rPr>
          <w:sz w:val="52"/>
          <w:szCs w:val="52"/>
        </w:rPr>
      </w:pPr>
      <w:r>
        <w:rPr>
          <w:rFonts w:ascii="宋体" w:hAnsi="宋体" w:cs="宋体" w:hint="eastAsia"/>
          <w:sz w:val="52"/>
          <w:szCs w:val="52"/>
        </w:rPr>
        <w:t xml:space="preserve"> </w:t>
      </w:r>
      <w:r>
        <w:rPr>
          <w:rFonts w:ascii="宋体" w:hAnsi="宋体" w:cs="宋体"/>
          <w:sz w:val="52"/>
          <w:szCs w:val="52"/>
        </w:rPr>
        <w:t xml:space="preserve">   </w:t>
      </w:r>
      <w:r>
        <w:rPr>
          <w:rFonts w:ascii="宋体" w:hAnsi="宋体" w:cs="宋体"/>
          <w:sz w:val="52"/>
          <w:szCs w:val="52"/>
        </w:rPr>
        <w:t>供应商分册</w:t>
      </w:r>
    </w:p>
    <w:p w:rsidR="00B216F9" w:rsidRDefault="00B216F9">
      <w:pPr>
        <w:spacing w:line="360" w:lineRule="auto"/>
        <w:ind w:firstLineChars="200" w:firstLine="480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szCs w:val="24"/>
        </w:rPr>
      </w:pPr>
    </w:p>
    <w:p w:rsidR="00B216F9" w:rsidRDefault="00B216F9">
      <w:pPr>
        <w:spacing w:line="360" w:lineRule="auto"/>
        <w:ind w:firstLineChars="200" w:firstLine="480"/>
        <w:sectPr w:rsidR="00B216F9">
          <w:footerReference w:type="default" r:id="rId8"/>
          <w:pgSz w:w="11900" w:h="16838"/>
          <w:pgMar w:top="1440" w:right="902" w:bottom="941" w:left="902" w:header="0" w:footer="0" w:gutter="0"/>
          <w:cols w:space="720" w:equalWidth="0">
            <w:col w:w="8078"/>
          </w:cols>
        </w:sectPr>
      </w:pPr>
      <w:bookmarkStart w:id="1" w:name="page2"/>
      <w:bookmarkEnd w:id="1"/>
    </w:p>
    <w:p w:rsidR="00B216F9" w:rsidRDefault="00B216F9">
      <w:pPr>
        <w:spacing w:line="360" w:lineRule="auto"/>
        <w:ind w:firstLineChars="200" w:firstLine="400"/>
        <w:rPr>
          <w:sz w:val="20"/>
          <w:szCs w:val="20"/>
        </w:rPr>
      </w:pPr>
    </w:p>
    <w:sdt>
      <w:sdtPr>
        <w:rPr>
          <w:rFonts w:ascii="Times New Roman" w:eastAsia="宋体" w:hAnsi="Times New Roman" w:cs="Times New Roman"/>
          <w:color w:val="auto"/>
          <w:sz w:val="24"/>
          <w:szCs w:val="22"/>
          <w:lang w:val="zh-CN"/>
        </w:rPr>
        <w:id w:val="47009962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216F9" w:rsidRDefault="00F651AC">
          <w:pPr>
            <w:pStyle w:val="TOC1"/>
          </w:pPr>
          <w:r>
            <w:rPr>
              <w:lang w:val="zh-CN"/>
            </w:rPr>
            <w:t>目录</w:t>
          </w:r>
        </w:p>
        <w:p w:rsidR="008B2F3A" w:rsidRDefault="00F651AC">
          <w:pPr>
            <w:pStyle w:val="10"/>
            <w:tabs>
              <w:tab w:val="right" w:leader="dot" w:pos="10088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991113" w:history="1">
            <w:r w:rsidR="008B2F3A" w:rsidRPr="001571B7">
              <w:rPr>
                <w:rStyle w:val="a5"/>
                <w:rFonts w:hint="eastAsia"/>
                <w:noProof/>
              </w:rPr>
              <w:t>广东农垦国资电子交易平台</w:t>
            </w:r>
            <w:r w:rsidR="008B2F3A">
              <w:rPr>
                <w:noProof/>
                <w:webHidden/>
              </w:rPr>
              <w:tab/>
            </w:r>
            <w:r w:rsidR="008B2F3A">
              <w:rPr>
                <w:noProof/>
                <w:webHidden/>
              </w:rPr>
              <w:fldChar w:fldCharType="begin"/>
            </w:r>
            <w:r w:rsidR="008B2F3A">
              <w:rPr>
                <w:noProof/>
                <w:webHidden/>
              </w:rPr>
              <w:instrText xml:space="preserve"> PAGEREF _Toc50991113 \h </w:instrText>
            </w:r>
            <w:r w:rsidR="008B2F3A">
              <w:rPr>
                <w:noProof/>
                <w:webHidden/>
              </w:rPr>
            </w:r>
            <w:r w:rsidR="008B2F3A">
              <w:rPr>
                <w:noProof/>
                <w:webHidden/>
              </w:rPr>
              <w:fldChar w:fldCharType="separate"/>
            </w:r>
            <w:r w:rsidR="008B2F3A">
              <w:rPr>
                <w:noProof/>
                <w:webHidden/>
              </w:rPr>
              <w:t>1</w:t>
            </w:r>
            <w:r w:rsidR="008B2F3A"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14" w:history="1">
            <w:r w:rsidRPr="001571B7">
              <w:rPr>
                <w:rStyle w:val="a5"/>
                <w:noProof/>
              </w:rPr>
              <w:t>1.</w:t>
            </w:r>
            <w:r w:rsidRPr="001571B7">
              <w:rPr>
                <w:rStyle w:val="a5"/>
                <w:rFonts w:hint="eastAsia"/>
                <w:noProof/>
              </w:rPr>
              <w:t>查看公告并下载采购文件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30"/>
            <w:tabs>
              <w:tab w:val="right" w:leader="dot" w:pos="10088"/>
            </w:tabs>
            <w:ind w:left="96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15" w:history="1">
            <w:r w:rsidRPr="001571B7">
              <w:rPr>
                <w:rStyle w:val="a5"/>
                <w:noProof/>
              </w:rPr>
              <w:t xml:space="preserve">1.1 </w:t>
            </w:r>
            <w:r w:rsidRPr="001571B7">
              <w:rPr>
                <w:rStyle w:val="a5"/>
                <w:rFonts w:hint="eastAsia"/>
                <w:noProof/>
              </w:rPr>
              <w:t>查看公开公告并下载采购文件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30"/>
            <w:tabs>
              <w:tab w:val="right" w:leader="dot" w:pos="10088"/>
            </w:tabs>
            <w:ind w:left="96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16" w:history="1">
            <w:r w:rsidRPr="001571B7">
              <w:rPr>
                <w:rStyle w:val="a5"/>
                <w:rFonts w:ascii="宋体" w:hAnsi="宋体" w:cs="宋体"/>
                <w:noProof/>
              </w:rPr>
              <w:t xml:space="preserve">1.2 </w:t>
            </w:r>
            <w:r w:rsidRPr="001571B7">
              <w:rPr>
                <w:rStyle w:val="a5"/>
                <w:rFonts w:hint="eastAsia"/>
                <w:noProof/>
              </w:rPr>
              <w:t>查看邀请公告并下载采购文件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17" w:history="1">
            <w:r w:rsidRPr="001571B7">
              <w:rPr>
                <w:rStyle w:val="a5"/>
                <w:noProof/>
              </w:rPr>
              <w:t>2.</w:t>
            </w:r>
            <w:r w:rsidRPr="001571B7">
              <w:rPr>
                <w:rStyle w:val="a5"/>
                <w:rFonts w:hint="eastAsia"/>
                <w:noProof/>
              </w:rPr>
              <w:t>查看补遗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18" w:history="1">
            <w:r w:rsidRPr="001571B7">
              <w:rPr>
                <w:rStyle w:val="a5"/>
                <w:noProof/>
              </w:rPr>
              <w:t>3.</w:t>
            </w:r>
            <w:r w:rsidRPr="001571B7">
              <w:rPr>
                <w:rStyle w:val="a5"/>
                <w:rFonts w:hint="eastAsia"/>
                <w:noProof/>
              </w:rPr>
              <w:t>采购质疑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30"/>
            <w:tabs>
              <w:tab w:val="right" w:leader="dot" w:pos="10088"/>
            </w:tabs>
            <w:ind w:left="96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19" w:history="1">
            <w:r w:rsidRPr="001571B7">
              <w:rPr>
                <w:rStyle w:val="a5"/>
                <w:noProof/>
              </w:rPr>
              <w:t xml:space="preserve">3.1 </w:t>
            </w:r>
            <w:r w:rsidRPr="001571B7">
              <w:rPr>
                <w:rStyle w:val="a5"/>
                <w:rFonts w:hint="eastAsia"/>
                <w:noProof/>
              </w:rPr>
              <w:t>提出质疑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30"/>
            <w:tabs>
              <w:tab w:val="right" w:leader="dot" w:pos="10088"/>
            </w:tabs>
            <w:ind w:left="96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20" w:history="1">
            <w:r w:rsidRPr="001571B7">
              <w:rPr>
                <w:rStyle w:val="a5"/>
                <w:noProof/>
              </w:rPr>
              <w:t xml:space="preserve">3.2 </w:t>
            </w:r>
            <w:r w:rsidRPr="001571B7">
              <w:rPr>
                <w:rStyle w:val="a5"/>
                <w:rFonts w:hint="eastAsia"/>
                <w:noProof/>
              </w:rPr>
              <w:t>查看质疑答复内容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21" w:history="1">
            <w:r w:rsidRPr="001571B7">
              <w:rPr>
                <w:rStyle w:val="a5"/>
                <w:noProof/>
              </w:rPr>
              <w:t>4.</w:t>
            </w:r>
            <w:r w:rsidRPr="001571B7">
              <w:rPr>
                <w:rStyle w:val="a5"/>
                <w:rFonts w:hint="eastAsia"/>
                <w:noProof/>
              </w:rPr>
              <w:t>项目报名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22" w:history="1">
            <w:r w:rsidRPr="001571B7">
              <w:rPr>
                <w:rStyle w:val="a5"/>
                <w:noProof/>
              </w:rPr>
              <w:t>5.</w:t>
            </w:r>
            <w:r w:rsidRPr="001571B7">
              <w:rPr>
                <w:rStyle w:val="a5"/>
                <w:rFonts w:hint="eastAsia"/>
                <w:noProof/>
              </w:rPr>
              <w:t>提交保证金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23" w:history="1">
            <w:r w:rsidRPr="001571B7">
              <w:rPr>
                <w:rStyle w:val="a5"/>
                <w:noProof/>
              </w:rPr>
              <w:t>6.</w:t>
            </w:r>
            <w:r w:rsidRPr="001571B7">
              <w:rPr>
                <w:rStyle w:val="a5"/>
                <w:rFonts w:hint="eastAsia"/>
                <w:noProof/>
              </w:rPr>
              <w:t>采购报价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24" w:history="1">
            <w:r w:rsidRPr="001571B7">
              <w:rPr>
                <w:rStyle w:val="a5"/>
                <w:noProof/>
              </w:rPr>
              <w:t xml:space="preserve">7. </w:t>
            </w:r>
            <w:r w:rsidRPr="001571B7">
              <w:rPr>
                <w:rStyle w:val="a5"/>
                <w:rFonts w:hint="eastAsia"/>
                <w:noProof/>
              </w:rPr>
              <w:t>采购答疑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25" w:history="1">
            <w:r w:rsidRPr="001571B7">
              <w:rPr>
                <w:rStyle w:val="a5"/>
                <w:noProof/>
              </w:rPr>
              <w:t>8.</w:t>
            </w:r>
            <w:r w:rsidRPr="001571B7">
              <w:rPr>
                <w:rStyle w:val="a5"/>
                <w:rFonts w:hint="eastAsia"/>
                <w:noProof/>
              </w:rPr>
              <w:t>查看成交结果公示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26" w:history="1">
            <w:r w:rsidRPr="001571B7">
              <w:rPr>
                <w:rStyle w:val="a5"/>
                <w:noProof/>
              </w:rPr>
              <w:t>9.</w:t>
            </w:r>
            <w:r w:rsidRPr="001571B7">
              <w:rPr>
                <w:rStyle w:val="a5"/>
                <w:rFonts w:hint="eastAsia"/>
                <w:noProof/>
              </w:rPr>
              <w:t>支付平台服务费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B2F3A" w:rsidRDefault="008B2F3A" w:rsidP="008B2F3A">
          <w:pPr>
            <w:pStyle w:val="20"/>
            <w:tabs>
              <w:tab w:val="right" w:leader="dot" w:pos="10088"/>
            </w:tabs>
            <w:ind w:left="480"/>
            <w:rPr>
              <w:rFonts w:asciiTheme="minorHAnsi" w:eastAsiaTheme="minorEastAsia" w:hAnsiTheme="minorHAnsi" w:cstheme="minorBidi"/>
              <w:noProof/>
              <w:kern w:val="2"/>
              <w:sz w:val="21"/>
            </w:rPr>
          </w:pPr>
          <w:hyperlink w:anchor="_Toc50991127" w:history="1">
            <w:r w:rsidRPr="001571B7">
              <w:rPr>
                <w:rStyle w:val="a5"/>
                <w:noProof/>
              </w:rPr>
              <w:t>10.</w:t>
            </w:r>
            <w:r w:rsidRPr="001571B7">
              <w:rPr>
                <w:rStyle w:val="a5"/>
                <w:rFonts w:hint="eastAsia"/>
                <w:noProof/>
              </w:rPr>
              <w:t>查看结果通知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_Toc50991127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16F9" w:rsidRDefault="00F651AC">
          <w:r>
            <w:rPr>
              <w:b/>
              <w:bCs/>
              <w:lang w:val="zh-CN"/>
            </w:rPr>
            <w:fldChar w:fldCharType="end"/>
          </w:r>
        </w:p>
      </w:sdtContent>
    </w:sdt>
    <w:p w:rsidR="00B216F9" w:rsidRDefault="00B216F9">
      <w:pPr>
        <w:spacing w:line="360" w:lineRule="auto"/>
        <w:ind w:firstLineChars="200" w:firstLine="400"/>
        <w:rPr>
          <w:sz w:val="20"/>
          <w:szCs w:val="20"/>
        </w:rPr>
      </w:pPr>
    </w:p>
    <w:p w:rsidR="00B216F9" w:rsidRDefault="00B216F9">
      <w:pPr>
        <w:spacing w:line="360" w:lineRule="auto"/>
        <w:ind w:firstLineChars="200" w:firstLine="400"/>
        <w:rPr>
          <w:sz w:val="20"/>
          <w:szCs w:val="20"/>
        </w:rPr>
      </w:pPr>
    </w:p>
    <w:p w:rsidR="00B216F9" w:rsidRDefault="00B216F9">
      <w:pPr>
        <w:spacing w:line="360" w:lineRule="auto"/>
        <w:ind w:firstLineChars="200" w:firstLine="480"/>
        <w:sectPr w:rsidR="00B216F9">
          <w:pgSz w:w="11900" w:h="16838"/>
          <w:pgMar w:top="1440" w:right="902" w:bottom="941" w:left="902" w:header="0" w:footer="0" w:gutter="0"/>
          <w:cols w:space="720" w:equalWidth="0">
            <w:col w:w="10098"/>
          </w:cols>
        </w:sectPr>
      </w:pPr>
      <w:bookmarkStart w:id="2" w:name="_GoBack"/>
      <w:bookmarkEnd w:id="2"/>
    </w:p>
    <w:p w:rsidR="00B216F9" w:rsidRDefault="00F651AC">
      <w:pPr>
        <w:pStyle w:val="2"/>
        <w:rPr>
          <w:sz w:val="20"/>
          <w:szCs w:val="20"/>
        </w:rPr>
      </w:pPr>
      <w:bookmarkStart w:id="3" w:name="page3"/>
      <w:bookmarkStart w:id="4" w:name="_Toc50991114"/>
      <w:bookmarkEnd w:id="3"/>
      <w:r>
        <w:lastRenderedPageBreak/>
        <w:t>1.</w:t>
      </w:r>
      <w:r>
        <w:t>查看公告并下载采购文件</w:t>
      </w:r>
      <w:bookmarkEnd w:id="4"/>
    </w:p>
    <w:p w:rsidR="00B216F9" w:rsidRDefault="00F651AC">
      <w:pPr>
        <w:pStyle w:val="3"/>
      </w:pPr>
      <w:bookmarkStart w:id="5" w:name="_Toc50991115"/>
      <w:r>
        <w:t xml:space="preserve">1.1 </w:t>
      </w:r>
      <w:r>
        <w:t>查看公开公告并下载采购文件</w:t>
      </w:r>
      <w:bookmarkEnd w:id="5"/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/>
          <w:szCs w:val="24"/>
        </w:rPr>
        <w:t>在左侧菜单中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依次点击</w:t>
      </w:r>
      <w:r>
        <w:rPr>
          <w:rFonts w:ascii="宋体" w:hAnsi="宋体" w:cs="宋体" w:hint="eastAsia"/>
          <w:szCs w:val="24"/>
        </w:rPr>
        <w:t>交易</w:t>
      </w:r>
      <w:r>
        <w:rPr>
          <w:rFonts w:ascii="宋体" w:hAnsi="宋体" w:cs="宋体"/>
          <w:szCs w:val="24"/>
        </w:rPr>
        <w:t>专区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采购管理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采购公告。进入采购公告列表页面。</w:t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6410960" cy="2889885"/>
            <wp:effectExtent l="0" t="0" r="889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/>
          <w:szCs w:val="24"/>
        </w:rPr>
        <w:t>采购公告列表页面提供采购项目名称、采购项目编号、采购人三种方式进行项目查询。</w:t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6410960" cy="3583305"/>
            <wp:effectExtent l="0" t="0" r="889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 w:hint="eastAsia"/>
          <w:szCs w:val="24"/>
        </w:rPr>
        <w:t>供应商可以</w:t>
      </w:r>
      <w:r>
        <w:rPr>
          <w:rFonts w:ascii="宋体" w:hAnsi="宋体" w:cs="宋体"/>
          <w:szCs w:val="24"/>
        </w:rPr>
        <w:t>在采购公告列表页面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找出有意向参加的公告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点击对应项目操作列的【查看】按钮</w:t>
      </w:r>
      <w:r>
        <w:rPr>
          <w:rFonts w:ascii="宋体" w:hAnsi="宋体" w:cs="宋体" w:hint="eastAsia"/>
          <w:szCs w:val="24"/>
        </w:rPr>
        <w:t>，</w:t>
      </w:r>
      <w:r>
        <w:rPr>
          <w:rFonts w:ascii="宋体" w:hAnsi="宋体" w:cs="宋体"/>
          <w:szCs w:val="24"/>
        </w:rPr>
        <w:t>进入采购公告详情页面。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lastRenderedPageBreak/>
        <w:t>采购公告内容包括项目信息、包件信息两大部分内容。</w:t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/>
          <w:szCs w:val="24"/>
        </w:rPr>
        <w:t>项目信息中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供应商可获取到项目名称、项目编号、采购人名称、采购人地址、采购人联系方式、代理机构名称、代理机构联系人信息、资金来源、采购方式、项目时间安排</w:t>
      </w:r>
      <w:r>
        <w:rPr>
          <w:rFonts w:ascii="MS PGothic" w:eastAsia="MS PGothic" w:hAnsi="MS PGothic" w:cs="MS PGothic"/>
          <w:szCs w:val="24"/>
        </w:rPr>
        <w:t>（</w:t>
      </w:r>
      <w:r>
        <w:rPr>
          <w:rFonts w:ascii="宋体" w:hAnsi="宋体" w:cs="宋体"/>
          <w:szCs w:val="24"/>
        </w:rPr>
        <w:t>公告开始时</w:t>
      </w:r>
      <w:r>
        <w:rPr>
          <w:rFonts w:ascii="宋体" w:hAnsi="宋体" w:cs="宋体"/>
          <w:szCs w:val="24"/>
        </w:rPr>
        <w:t xml:space="preserve"> </w:t>
      </w:r>
      <w:r>
        <w:rPr>
          <w:rFonts w:ascii="宋体" w:hAnsi="宋体" w:cs="宋体"/>
          <w:szCs w:val="24"/>
        </w:rPr>
        <w:t>间、公告截止时间、质疑截止时间、答疑截止时间、报价截止时间、询价评审时间</w:t>
      </w:r>
      <w:r>
        <w:rPr>
          <w:rFonts w:ascii="MS PGothic" w:eastAsia="MS PGothic" w:hAnsi="MS PGothic" w:cs="MS PGothic"/>
          <w:szCs w:val="24"/>
        </w:rPr>
        <w:t>）；</w:t>
      </w:r>
      <w:r>
        <w:rPr>
          <w:rFonts w:ascii="宋体" w:hAnsi="宋体" w:cs="宋体"/>
          <w:szCs w:val="24"/>
        </w:rPr>
        <w:t>包件信息中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供应商可获取到包件名称、包件编号、评审方法、明细信息、采购文件。</w:t>
      </w:r>
      <w:r>
        <w:rPr>
          <w:rFonts w:ascii="宋体" w:hAnsi="宋体" w:cs="宋体"/>
          <w:szCs w:val="24"/>
        </w:rPr>
        <w:t xml:space="preserve"> </w:t>
      </w:r>
      <w:r>
        <w:rPr>
          <w:rFonts w:ascii="宋体" w:hAnsi="宋体" w:cs="宋体"/>
          <w:szCs w:val="24"/>
        </w:rPr>
        <w:t>供应商应详细查阅项目信息及包件信息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理解采购文件说明的内容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从</w:t>
      </w:r>
      <w:r>
        <w:rPr>
          <w:rFonts w:ascii="宋体" w:hAnsi="宋体" w:cs="宋体"/>
          <w:szCs w:val="24"/>
        </w:rPr>
        <w:t>而决定是否参加项目。</w:t>
      </w:r>
      <w:r>
        <w:rPr>
          <w:noProof/>
        </w:rPr>
        <w:drawing>
          <wp:inline distT="0" distB="0" distL="0" distR="0">
            <wp:extent cx="6410960" cy="2901950"/>
            <wp:effectExtent l="0" t="0" r="889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/>
          <w:color w:val="FF0000"/>
          <w:szCs w:val="24"/>
        </w:rPr>
        <w:t>如果一个项目中有多个包件</w:t>
      </w:r>
      <w:r>
        <w:rPr>
          <w:rFonts w:ascii="MS PGothic" w:eastAsia="MS PGothic" w:hAnsi="MS PGothic" w:cs="MS PGothic"/>
          <w:color w:val="FF0000"/>
          <w:szCs w:val="24"/>
        </w:rPr>
        <w:t>，</w:t>
      </w:r>
      <w:r>
        <w:rPr>
          <w:rFonts w:ascii="宋体" w:hAnsi="宋体" w:cs="宋体"/>
          <w:color w:val="FF0000"/>
          <w:szCs w:val="24"/>
        </w:rPr>
        <w:t>可以通过点击【包件</w:t>
      </w:r>
      <w:r>
        <w:rPr>
          <w:rFonts w:ascii="宋体" w:hAnsi="宋体" w:cs="宋体"/>
          <w:color w:val="FF0000"/>
          <w:szCs w:val="24"/>
        </w:rPr>
        <w:t xml:space="preserve"> 1</w:t>
      </w:r>
      <w:r>
        <w:rPr>
          <w:rFonts w:ascii="宋体" w:hAnsi="宋体" w:cs="宋体"/>
          <w:color w:val="FF0000"/>
          <w:szCs w:val="24"/>
        </w:rPr>
        <w:t>】、【包件</w:t>
      </w:r>
      <w:r>
        <w:rPr>
          <w:rFonts w:ascii="宋体" w:hAnsi="宋体" w:cs="宋体"/>
          <w:color w:val="FF0000"/>
          <w:szCs w:val="24"/>
        </w:rPr>
        <w:t xml:space="preserve"> 2</w:t>
      </w:r>
      <w:r>
        <w:rPr>
          <w:rFonts w:ascii="宋体" w:hAnsi="宋体" w:cs="宋体"/>
          <w:color w:val="FF0000"/>
          <w:szCs w:val="24"/>
        </w:rPr>
        <w:t>】、【包件</w:t>
      </w:r>
      <w:r>
        <w:rPr>
          <w:rFonts w:ascii="宋体" w:hAnsi="宋体" w:cs="宋体"/>
          <w:color w:val="FF0000"/>
          <w:szCs w:val="24"/>
        </w:rPr>
        <w:t xml:space="preserve"> 3</w:t>
      </w:r>
      <w:r>
        <w:rPr>
          <w:rFonts w:ascii="宋体" w:hAnsi="宋体" w:cs="宋体"/>
          <w:color w:val="FF0000"/>
          <w:szCs w:val="24"/>
        </w:rPr>
        <w:t>】来进行切换。</w:t>
      </w:r>
      <w:r>
        <w:rPr>
          <w:rFonts w:ascii="宋体" w:hAnsi="宋体" w:cs="宋体"/>
          <w:color w:val="FF0000"/>
          <w:szCs w:val="24"/>
        </w:rPr>
        <w:t xml:space="preserve"> </w:t>
      </w:r>
      <w:r>
        <w:rPr>
          <w:rFonts w:ascii="宋体" w:hAnsi="宋体" w:cs="宋体"/>
          <w:color w:val="000000"/>
          <w:szCs w:val="24"/>
        </w:rPr>
        <w:t>点击文件名称</w:t>
      </w:r>
      <w:r>
        <w:rPr>
          <w:rFonts w:ascii="MS PGothic" w:eastAsia="MS PGothic" w:hAnsi="MS PGothic" w:cs="MS PGothic"/>
          <w:color w:val="000000"/>
          <w:szCs w:val="24"/>
        </w:rPr>
        <w:t>，</w:t>
      </w:r>
      <w:r>
        <w:rPr>
          <w:rFonts w:ascii="宋体" w:hAnsi="宋体" w:cs="宋体"/>
          <w:color w:val="000000"/>
          <w:szCs w:val="24"/>
        </w:rPr>
        <w:t>即可下载对应包件的采购文件。</w:t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6410960" cy="2117725"/>
            <wp:effectExtent l="0" t="0" r="889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211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B216F9">
      <w:pPr>
        <w:spacing w:line="360" w:lineRule="auto"/>
        <w:ind w:firstLineChars="200" w:firstLine="400"/>
        <w:rPr>
          <w:sz w:val="20"/>
          <w:szCs w:val="20"/>
        </w:rPr>
      </w:pPr>
    </w:p>
    <w:p w:rsidR="00B216F9" w:rsidRDefault="00F651AC">
      <w:pPr>
        <w:pStyle w:val="3"/>
        <w:rPr>
          <w:rFonts w:ascii="宋体" w:hAnsi="宋体" w:cs="宋体"/>
          <w:sz w:val="24"/>
          <w:szCs w:val="24"/>
        </w:rPr>
      </w:pPr>
      <w:bookmarkStart w:id="6" w:name="_Toc50991116"/>
      <w:r>
        <w:rPr>
          <w:rFonts w:ascii="宋体" w:hAnsi="宋体" w:cs="宋体"/>
          <w:sz w:val="24"/>
          <w:szCs w:val="24"/>
        </w:rPr>
        <w:t xml:space="preserve">1.2 </w:t>
      </w:r>
      <w:r>
        <w:t>查看邀请公告并下载采购文件</w:t>
      </w:r>
      <w:bookmarkEnd w:id="6"/>
      <w:r>
        <w:rPr>
          <w:rFonts w:ascii="宋体" w:hAnsi="宋体" w:cs="宋体"/>
          <w:sz w:val="24"/>
          <w:szCs w:val="24"/>
        </w:rPr>
        <w:t xml:space="preserve"> </w:t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/>
          <w:szCs w:val="24"/>
        </w:rPr>
        <w:t>供应商收到邀请公告的提示短信后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登录</w:t>
      </w:r>
      <w:r w:rsidR="008B2F3A" w:rsidRPr="008B2F3A">
        <w:rPr>
          <w:rFonts w:ascii="宋体" w:hAnsi="宋体" w:cs="宋体" w:hint="eastAsia"/>
          <w:szCs w:val="24"/>
        </w:rPr>
        <w:t>广东农垦国资电子交易平台</w:t>
      </w:r>
      <w:r>
        <w:rPr>
          <w:rFonts w:ascii="宋体" w:hAnsi="宋体" w:cs="宋体"/>
          <w:szCs w:val="24"/>
        </w:rPr>
        <w:t>。依次点击</w:t>
      </w:r>
      <w:r>
        <w:rPr>
          <w:rFonts w:ascii="宋体" w:hAnsi="宋体" w:cs="宋体" w:hint="eastAsia"/>
          <w:szCs w:val="24"/>
        </w:rPr>
        <w:t>交易</w:t>
      </w:r>
      <w:r>
        <w:rPr>
          <w:rFonts w:ascii="宋体" w:hAnsi="宋体" w:cs="宋体"/>
          <w:szCs w:val="24"/>
        </w:rPr>
        <w:t>专区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采购管理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采购公告。进入采购公告列表页面。可以查看到带有</w:t>
      </w:r>
      <w:r>
        <w:rPr>
          <w:rFonts w:ascii="宋体" w:hAnsi="宋体" w:cs="宋体"/>
          <w:color w:val="FF0000"/>
          <w:szCs w:val="24"/>
        </w:rPr>
        <w:t>邀请</w:t>
      </w:r>
      <w:r>
        <w:rPr>
          <w:rFonts w:ascii="宋体" w:hAnsi="宋体" w:cs="宋体"/>
          <w:szCs w:val="24"/>
        </w:rPr>
        <w:t>字样的项目。</w:t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bookmarkStart w:id="7" w:name="page5"/>
      <w:bookmarkEnd w:id="7"/>
      <w:r>
        <w:rPr>
          <w:noProof/>
        </w:rPr>
        <w:lastRenderedPageBreak/>
        <w:drawing>
          <wp:inline distT="0" distB="0" distL="0" distR="0">
            <wp:extent cx="6107430" cy="3262630"/>
            <wp:effectExtent l="0" t="0" r="762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/>
          <w:szCs w:val="24"/>
        </w:rPr>
        <w:t>点击【查看】按钮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进入查看采购公告页面。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107430" cy="3333115"/>
            <wp:effectExtent l="0" t="0" r="7620" b="63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" w:name="page6"/>
      <w:bookmarkEnd w:id="8"/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/>
          <w:szCs w:val="24"/>
        </w:rPr>
        <w:t>仔细阅读采购文件后。点击【接受】按钮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根据提示输入操作人姓名和接受原因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提交后即</w:t>
      </w:r>
      <w:r>
        <w:rPr>
          <w:rFonts w:ascii="宋体" w:hAnsi="宋体" w:cs="宋体"/>
          <w:szCs w:val="24"/>
        </w:rPr>
        <w:t xml:space="preserve"> </w:t>
      </w:r>
      <w:r>
        <w:rPr>
          <w:rFonts w:ascii="宋体" w:hAnsi="宋体" w:cs="宋体"/>
          <w:szCs w:val="24"/>
        </w:rPr>
        <w:t>确认接受邀请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可以继续操作该项目的后续操作</w:t>
      </w:r>
      <w:r>
        <w:rPr>
          <w:rFonts w:ascii="MS PGothic" w:eastAsia="MS PGothic" w:hAnsi="MS PGothic" w:cs="MS PGothic"/>
          <w:szCs w:val="24"/>
        </w:rPr>
        <w:t>；</w:t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6410960" cy="2433955"/>
            <wp:effectExtent l="0" t="0" r="8890" b="444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sz w:val="20"/>
          <w:szCs w:val="20"/>
        </w:rPr>
      </w:pPr>
      <w:r>
        <w:rPr>
          <w:rFonts w:ascii="宋体" w:hAnsi="宋体" w:cs="宋体"/>
          <w:szCs w:val="24"/>
        </w:rPr>
        <w:t>若点击【拒绝】按钮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根据提示输入操作人姓名和拒绝参加的原因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确认提交后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即确定该</w:t>
      </w:r>
      <w:r>
        <w:rPr>
          <w:rFonts w:ascii="宋体" w:hAnsi="宋体" w:cs="宋体"/>
          <w:szCs w:val="24"/>
        </w:rPr>
        <w:t xml:space="preserve"> </w:t>
      </w:r>
      <w:r>
        <w:rPr>
          <w:rFonts w:ascii="宋体" w:hAnsi="宋体" w:cs="宋体"/>
          <w:szCs w:val="24"/>
        </w:rPr>
        <w:t>供应商拒绝邀请。拒绝邀请后该供应商将无法继续对应项目的后续操作。此操作为不可逆操作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请供应商谨慎</w:t>
      </w:r>
      <w:r>
        <w:rPr>
          <w:rFonts w:ascii="宋体" w:hAnsi="宋体" w:cs="宋体"/>
          <w:szCs w:val="24"/>
        </w:rPr>
        <w:t>选择是否接受或拒绝邀请。</w:t>
      </w:r>
    </w:p>
    <w:p w:rsidR="00B216F9" w:rsidRDefault="00B216F9">
      <w:pPr>
        <w:spacing w:line="360" w:lineRule="auto"/>
        <w:ind w:firstLineChars="200" w:firstLine="400"/>
        <w:rPr>
          <w:sz w:val="20"/>
          <w:szCs w:val="20"/>
        </w:rPr>
      </w:pPr>
    </w:p>
    <w:p w:rsidR="00B216F9" w:rsidRDefault="00F651AC">
      <w:pPr>
        <w:pStyle w:val="2"/>
        <w:rPr>
          <w:sz w:val="20"/>
          <w:szCs w:val="20"/>
        </w:rPr>
      </w:pPr>
      <w:bookmarkStart w:id="9" w:name="_Toc50991117"/>
      <w:r>
        <w:t>2.</w:t>
      </w:r>
      <w:r>
        <w:t>查看补遗</w:t>
      </w:r>
      <w:bookmarkEnd w:id="9"/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当某项目有补遗时，供应商可</w:t>
      </w:r>
      <w:r>
        <w:rPr>
          <w:rFonts w:ascii="宋体" w:hAnsi="宋体" w:cs="宋体"/>
          <w:szCs w:val="24"/>
        </w:rPr>
        <w:t>在左侧菜单中，依次点击</w:t>
      </w:r>
      <w:r>
        <w:rPr>
          <w:rFonts w:ascii="宋体" w:hAnsi="宋体" w:cs="宋体" w:hint="eastAsia"/>
          <w:szCs w:val="24"/>
        </w:rPr>
        <w:t>交易</w:t>
      </w:r>
      <w:r>
        <w:rPr>
          <w:rFonts w:ascii="宋体" w:hAnsi="宋体" w:cs="宋体"/>
          <w:szCs w:val="24"/>
        </w:rPr>
        <w:t>专区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采购管理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补遗文件</w:t>
      </w:r>
      <w:r>
        <w:rPr>
          <w:rFonts w:ascii="宋体" w:hAnsi="宋体" w:cs="宋体" w:hint="eastAsia"/>
          <w:szCs w:val="24"/>
        </w:rPr>
        <w:t>，</w:t>
      </w:r>
      <w:r>
        <w:rPr>
          <w:rFonts w:ascii="宋体" w:hAnsi="宋体" w:cs="宋体"/>
          <w:szCs w:val="24"/>
        </w:rPr>
        <w:t>进入查看补遗列表页面</w:t>
      </w:r>
      <w:r>
        <w:rPr>
          <w:rFonts w:ascii="宋体" w:hAnsi="宋体" w:cs="宋体" w:hint="eastAsia"/>
          <w:szCs w:val="24"/>
        </w:rPr>
        <w:t>进行查看</w:t>
      </w:r>
      <w:r>
        <w:rPr>
          <w:rFonts w:ascii="宋体" w:hAnsi="宋体" w:cs="宋体"/>
          <w:szCs w:val="24"/>
        </w:rPr>
        <w:t>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410960" cy="2908935"/>
            <wp:effectExtent l="0" t="0" r="8890" b="571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若列表界面的补遗数显示为红色数字，说明该项目有发布补遗。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410960" cy="3491865"/>
            <wp:effectExtent l="0" t="0" r="889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349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点击操作列的【查看】按钮，进入对应项目的补遗查看界面，即可了解补遗详细信息。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410960" cy="3518535"/>
            <wp:effectExtent l="0" t="0" r="8890" b="571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F651AC">
      <w:pPr>
        <w:pStyle w:val="2"/>
      </w:pPr>
      <w:bookmarkStart w:id="10" w:name="_Toc50991118"/>
      <w:r>
        <w:lastRenderedPageBreak/>
        <w:t>3.</w:t>
      </w:r>
      <w:r>
        <w:t>采购质疑</w:t>
      </w:r>
      <w:bookmarkEnd w:id="10"/>
      <w:r>
        <w:t xml:space="preserve"> </w:t>
      </w:r>
    </w:p>
    <w:p w:rsidR="00B216F9" w:rsidRDefault="00F651AC">
      <w:pPr>
        <w:pStyle w:val="3"/>
      </w:pPr>
      <w:bookmarkStart w:id="11" w:name="_Toc50991119"/>
      <w:r>
        <w:rPr>
          <w:rFonts w:hint="eastAsia"/>
        </w:rPr>
        <w:t>3</w:t>
      </w:r>
      <w:r>
        <w:t xml:space="preserve">.1 </w:t>
      </w:r>
      <w:r>
        <w:rPr>
          <w:rFonts w:hint="eastAsia"/>
        </w:rPr>
        <w:t>提出质疑</w:t>
      </w:r>
      <w:bookmarkEnd w:id="11"/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供应商</w:t>
      </w:r>
      <w:r>
        <w:rPr>
          <w:rFonts w:ascii="宋体" w:hAnsi="宋体" w:cs="宋体" w:hint="eastAsia"/>
          <w:szCs w:val="24"/>
        </w:rPr>
        <w:t>如果</w:t>
      </w:r>
      <w:r>
        <w:rPr>
          <w:rFonts w:ascii="宋体" w:hAnsi="宋体" w:cs="宋体"/>
          <w:szCs w:val="24"/>
        </w:rPr>
        <w:t>需要对某个采购项目发出</w:t>
      </w:r>
      <w:r>
        <w:rPr>
          <w:rFonts w:ascii="宋体" w:hAnsi="宋体" w:cs="宋体" w:hint="eastAsia"/>
          <w:szCs w:val="24"/>
        </w:rPr>
        <w:t>疑问</w:t>
      </w:r>
      <w:r>
        <w:rPr>
          <w:rFonts w:ascii="宋体" w:hAnsi="宋体" w:cs="宋体"/>
          <w:szCs w:val="24"/>
        </w:rPr>
        <w:t>内容</w:t>
      </w:r>
      <w:r>
        <w:rPr>
          <w:rFonts w:ascii="宋体" w:hAnsi="宋体" w:cs="宋体" w:hint="eastAsia"/>
          <w:szCs w:val="24"/>
        </w:rPr>
        <w:t>，可以</w:t>
      </w:r>
      <w:r>
        <w:rPr>
          <w:rFonts w:ascii="宋体" w:hAnsi="宋体" w:cs="宋体"/>
          <w:szCs w:val="24"/>
        </w:rPr>
        <w:t>在左侧菜单中，依次点击供应商专区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采购管理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采购质疑。进入采购质疑列表页面。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410960" cy="3456305"/>
            <wp:effectExtent l="0" t="0" r="889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345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选择要质疑的项目，点击对应项目的【质疑】按钮，进入采购质疑页面。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点击【添加质疑】按钮，进入添加质疑信息页面。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410960" cy="2149475"/>
            <wp:effectExtent l="0" t="0" r="8890" b="317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10960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填写质疑标题、质疑内容。点击【提交质疑】，即可发出质疑。（若项目已经超过质疑截止时间，则不允许供应商提交质疑内容。若有质疑，</w:t>
      </w:r>
      <w:r>
        <w:rPr>
          <w:rFonts w:ascii="宋体" w:hAnsi="宋体" w:cs="宋体" w:hint="eastAsia"/>
          <w:szCs w:val="24"/>
        </w:rPr>
        <w:t>请</w:t>
      </w:r>
      <w:r>
        <w:rPr>
          <w:rFonts w:ascii="宋体" w:hAnsi="宋体" w:cs="宋体"/>
          <w:szCs w:val="24"/>
        </w:rPr>
        <w:t>供应商应合理安排时间，在质疑截止时间前及时提出。）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961380" cy="2256790"/>
            <wp:effectExtent l="0" t="0" r="127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61905" cy="2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pStyle w:val="3"/>
      </w:pPr>
      <w:bookmarkStart w:id="12" w:name="_Toc50991120"/>
      <w:r>
        <w:t xml:space="preserve">3.2 </w:t>
      </w:r>
      <w:r>
        <w:t>查看质疑答复内容</w:t>
      </w:r>
      <w:bookmarkEnd w:id="12"/>
      <w:r>
        <w:t xml:space="preserve"> 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供应商提出质疑后，</w:t>
      </w:r>
      <w:r>
        <w:rPr>
          <w:rFonts w:ascii="宋体" w:hAnsi="宋体" w:cs="宋体" w:hint="eastAsia"/>
          <w:szCs w:val="24"/>
        </w:rPr>
        <w:t>可</w:t>
      </w:r>
      <w:r>
        <w:rPr>
          <w:rFonts w:ascii="宋体" w:hAnsi="宋体" w:cs="宋体"/>
          <w:szCs w:val="24"/>
        </w:rPr>
        <w:t>查看采购人及代理回复的答疑内容</w:t>
      </w:r>
      <w:r>
        <w:rPr>
          <w:rFonts w:ascii="宋体" w:hAnsi="宋体" w:cs="宋体" w:hint="eastAsia"/>
          <w:szCs w:val="24"/>
        </w:rPr>
        <w:t>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在左侧菜单中，依次点击</w:t>
      </w:r>
      <w:r>
        <w:rPr>
          <w:rFonts w:ascii="宋体" w:hAnsi="宋体" w:cs="宋体" w:hint="eastAsia"/>
          <w:szCs w:val="24"/>
        </w:rPr>
        <w:t>交易</w:t>
      </w:r>
      <w:r>
        <w:rPr>
          <w:rFonts w:ascii="宋体" w:hAnsi="宋体" w:cs="宋体"/>
          <w:szCs w:val="24"/>
        </w:rPr>
        <w:t>专区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采购管理</w:t>
      </w:r>
      <w:r>
        <w:rPr>
          <w:rFonts w:ascii="宋体" w:hAnsi="宋体" w:cs="宋体"/>
          <w:szCs w:val="24"/>
        </w:rPr>
        <w:t>&gt;</w:t>
      </w:r>
      <w:r>
        <w:rPr>
          <w:rFonts w:ascii="宋体" w:hAnsi="宋体" w:cs="宋体"/>
          <w:szCs w:val="24"/>
        </w:rPr>
        <w:t>采购质疑。进入采购质疑列表页面。</w:t>
      </w:r>
      <w:bookmarkStart w:id="13" w:name="page9"/>
      <w:bookmarkEnd w:id="13"/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若回复数不为零，则代表该项目有采购人或代理对供应商的质疑有回复。点击对应项目的【质疑】按钮。进入质疑内容列表，即可查看所有该项目的质疑内容和答复内容。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107430" cy="2815590"/>
            <wp:effectExtent l="0" t="0" r="7620" b="381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281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点击【查看】按钮，即可查看质疑回复的详细信息。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107430" cy="1576705"/>
            <wp:effectExtent l="0" t="0" r="7620" b="444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157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107430" cy="2534920"/>
            <wp:effectExtent l="0" t="0" r="762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F651AC">
      <w:pPr>
        <w:pStyle w:val="2"/>
      </w:pPr>
      <w:bookmarkStart w:id="14" w:name="_Toc50991121"/>
      <w:r>
        <w:rPr>
          <w:rFonts w:hint="eastAsia"/>
        </w:rPr>
        <w:t>4</w:t>
      </w:r>
      <w:r>
        <w:t>.</w:t>
      </w:r>
      <w:r>
        <w:rPr>
          <w:rFonts w:hint="eastAsia"/>
        </w:rPr>
        <w:t>项目报名</w:t>
      </w:r>
      <w:bookmarkEnd w:id="14"/>
    </w:p>
    <w:p w:rsidR="00B216F9" w:rsidRDefault="00F651AC">
      <w:pPr>
        <w:spacing w:line="360" w:lineRule="auto"/>
        <w:ind w:firstLineChars="200" w:firstLine="480"/>
      </w:pPr>
      <w:r>
        <w:rPr>
          <w:rFonts w:hint="eastAsia"/>
        </w:rPr>
        <w:t>部分项目需要进行报名才能进行后续操作。供应商可以在“项目报名”节点对项目进行报名。</w:t>
      </w:r>
    </w:p>
    <w:p w:rsidR="00B216F9" w:rsidRDefault="00F651AC">
      <w:pPr>
        <w:spacing w:line="360" w:lineRule="auto"/>
        <w:ind w:firstLineChars="200" w:firstLine="480"/>
      </w:pPr>
      <w:r>
        <w:rPr>
          <w:noProof/>
        </w:rPr>
        <w:drawing>
          <wp:inline distT="0" distB="0" distL="0" distR="0">
            <wp:extent cx="6107430" cy="2739390"/>
            <wp:effectExtent l="0" t="0" r="762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273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</w:pPr>
      <w:r>
        <w:rPr>
          <w:rFonts w:hint="eastAsia"/>
        </w:rPr>
        <w:t>在列表页中，选择希望报名的项目，点击“支付”</w:t>
      </w:r>
    </w:p>
    <w:p w:rsidR="00B216F9" w:rsidRDefault="00F651AC">
      <w:pPr>
        <w:spacing w:line="360" w:lineRule="auto"/>
        <w:ind w:firstLineChars="200" w:firstLine="480"/>
      </w:pPr>
      <w:r>
        <w:rPr>
          <w:noProof/>
        </w:rPr>
        <w:lastRenderedPageBreak/>
        <w:drawing>
          <wp:inline distT="0" distB="0" distL="0" distR="0">
            <wp:extent cx="6107430" cy="3284220"/>
            <wp:effectExtent l="0" t="0" r="762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</w:pPr>
      <w:r>
        <w:rPr>
          <w:rFonts w:hint="eastAsia"/>
        </w:rPr>
        <w:t>在弹出的页面中，选择“提交订单”。</w:t>
      </w:r>
    </w:p>
    <w:p w:rsidR="00B216F9" w:rsidRDefault="00F651AC">
      <w:pPr>
        <w:spacing w:line="360" w:lineRule="auto"/>
        <w:ind w:firstLineChars="200" w:firstLine="480"/>
      </w:pPr>
      <w:r>
        <w:rPr>
          <w:noProof/>
        </w:rPr>
        <w:drawing>
          <wp:inline distT="0" distB="0" distL="0" distR="0">
            <wp:extent cx="6107430" cy="2385695"/>
            <wp:effectExtent l="0" t="0" r="762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</w:pPr>
      <w:r>
        <w:rPr>
          <w:rFonts w:hint="eastAsia"/>
        </w:rPr>
        <w:t>支付完成后点击页面下方的“完成支付”。</w:t>
      </w:r>
    </w:p>
    <w:p w:rsidR="00B216F9" w:rsidRDefault="00F651AC">
      <w:pPr>
        <w:spacing w:line="360" w:lineRule="auto"/>
        <w:ind w:firstLineChars="200" w:firstLine="480"/>
      </w:pPr>
      <w:r>
        <w:rPr>
          <w:noProof/>
        </w:rPr>
        <w:lastRenderedPageBreak/>
        <w:drawing>
          <wp:inline distT="0" distB="0" distL="0" distR="0">
            <wp:extent cx="6107430" cy="3970655"/>
            <wp:effectExtent l="0" t="0" r="762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97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B216F9">
      <w:pPr>
        <w:spacing w:line="360" w:lineRule="auto"/>
        <w:ind w:firstLineChars="200" w:firstLine="480"/>
      </w:pPr>
    </w:p>
    <w:p w:rsidR="00B216F9" w:rsidRDefault="00F651AC">
      <w:pPr>
        <w:pStyle w:val="2"/>
      </w:pPr>
      <w:bookmarkStart w:id="15" w:name="_Toc50991122"/>
      <w:r>
        <w:rPr>
          <w:rFonts w:hint="eastAsia"/>
        </w:rPr>
        <w:t>5</w:t>
      </w:r>
      <w:r>
        <w:t>.</w:t>
      </w:r>
      <w:r>
        <w:rPr>
          <w:rFonts w:hint="eastAsia"/>
        </w:rPr>
        <w:t>提交保证金</w:t>
      </w:r>
      <w:bookmarkEnd w:id="15"/>
    </w:p>
    <w:p w:rsidR="00B216F9" w:rsidRDefault="00F651AC">
      <w:pPr>
        <w:spacing w:line="360" w:lineRule="auto"/>
        <w:ind w:firstLineChars="200" w:firstLine="480"/>
      </w:pPr>
      <w:r>
        <w:rPr>
          <w:rFonts w:hint="eastAsia"/>
        </w:rPr>
        <w:t>部分项目需要提交保证金后才能进行后续操作。供应商可以在“提交保证金”节点对项目进行提交保证金操作。</w:t>
      </w:r>
    </w:p>
    <w:p w:rsidR="00B216F9" w:rsidRDefault="00F651AC">
      <w:pPr>
        <w:spacing w:line="360" w:lineRule="auto"/>
        <w:ind w:firstLineChars="200" w:firstLine="480"/>
      </w:pPr>
      <w:r>
        <w:rPr>
          <w:noProof/>
        </w:rPr>
        <w:drawing>
          <wp:inline distT="0" distB="0" distL="0" distR="0">
            <wp:extent cx="6107430" cy="3119755"/>
            <wp:effectExtent l="0" t="0" r="7620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</w:pPr>
      <w:r>
        <w:rPr>
          <w:rFonts w:hint="eastAsia"/>
        </w:rPr>
        <w:t>在列表页中，选择希望报名的项目，点击“缴纳”</w:t>
      </w:r>
    </w:p>
    <w:p w:rsidR="00B216F9" w:rsidRDefault="00F651AC">
      <w:pPr>
        <w:spacing w:line="360" w:lineRule="auto"/>
        <w:ind w:firstLineChars="200" w:firstLine="480"/>
      </w:pPr>
      <w:r>
        <w:rPr>
          <w:rFonts w:hint="eastAsia"/>
        </w:rPr>
        <w:lastRenderedPageBreak/>
        <w:t>目前保证金缴纳方式为线下汇款转账，线上上传支付凭证的方式。供应商可以根据公告中的保证金汇款账户，线下支付，随后在该项目的保证金缴纳页面，输入相关信息，并上传评凭证。待平台财务人员核实后，即完成保证金缴纳操作。</w:t>
      </w:r>
    </w:p>
    <w:p w:rsidR="00B216F9" w:rsidRDefault="00F651AC">
      <w:pPr>
        <w:spacing w:line="360" w:lineRule="auto"/>
        <w:ind w:firstLineChars="200" w:firstLine="480"/>
      </w:pPr>
      <w:r>
        <w:rPr>
          <w:noProof/>
        </w:rPr>
        <w:drawing>
          <wp:inline distT="0" distB="0" distL="0" distR="0">
            <wp:extent cx="6107430" cy="3321685"/>
            <wp:effectExtent l="0" t="0" r="762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B216F9">
      <w:pPr>
        <w:spacing w:line="360" w:lineRule="auto"/>
        <w:ind w:firstLineChars="200" w:firstLine="480"/>
      </w:pPr>
    </w:p>
    <w:p w:rsidR="00B216F9" w:rsidRDefault="00F651AC">
      <w:pPr>
        <w:pStyle w:val="2"/>
      </w:pPr>
      <w:bookmarkStart w:id="16" w:name="_Toc50991123"/>
      <w:r>
        <w:rPr>
          <w:rFonts w:hint="eastAsia"/>
        </w:rPr>
        <w:t>6</w:t>
      </w:r>
      <w:r>
        <w:t>.</w:t>
      </w:r>
      <w:r>
        <w:rPr>
          <w:rFonts w:hint="eastAsia"/>
        </w:rPr>
        <w:t>采购报价</w:t>
      </w:r>
      <w:bookmarkEnd w:id="16"/>
    </w:p>
    <w:p w:rsidR="00B216F9" w:rsidRDefault="00F651AC">
      <w:pPr>
        <w:spacing w:line="360" w:lineRule="auto"/>
        <w:ind w:firstLineChars="200" w:firstLine="480"/>
      </w:pPr>
      <w:r>
        <w:rPr>
          <w:rFonts w:hint="eastAsia"/>
        </w:rPr>
        <w:t>供应商可以在“采购报价”界面，对希望报价的项目进行报价操作。</w:t>
      </w:r>
    </w:p>
    <w:p w:rsidR="00B216F9" w:rsidRDefault="00F651AC">
      <w:pPr>
        <w:spacing w:line="360" w:lineRule="auto"/>
        <w:ind w:firstLineChars="200" w:firstLine="480"/>
      </w:pPr>
      <w:r>
        <w:rPr>
          <w:noProof/>
        </w:rPr>
        <w:drawing>
          <wp:inline distT="0" distB="0" distL="0" distR="0">
            <wp:extent cx="6107430" cy="2740025"/>
            <wp:effectExtent l="0" t="0" r="7620" b="317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274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</w:pPr>
      <w:r>
        <w:rPr>
          <w:rFonts w:ascii="宋体" w:hAnsi="宋体" w:cs="宋体"/>
          <w:szCs w:val="24"/>
        </w:rPr>
        <w:lastRenderedPageBreak/>
        <w:t>点击有意向参与报价的包件右侧的【报价】按钮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即可进入报价页面。</w:t>
      </w:r>
      <w:r>
        <w:rPr>
          <w:rFonts w:ascii="MS PGothic" w:eastAsia="MS PGothic" w:hAnsi="MS PGothic" w:cs="MS PGothic"/>
          <w:szCs w:val="24"/>
        </w:rPr>
        <w:t>（</w:t>
      </w:r>
      <w:r>
        <w:rPr>
          <w:rFonts w:ascii="宋体" w:hAnsi="宋体" w:cs="宋体"/>
          <w:szCs w:val="24"/>
        </w:rPr>
        <w:t>若</w:t>
      </w:r>
      <w:r>
        <w:rPr>
          <w:rFonts w:ascii="宋体" w:hAnsi="宋体" w:cs="宋体" w:hint="eastAsia"/>
          <w:szCs w:val="24"/>
        </w:rPr>
        <w:t>未完成报名，或</w:t>
      </w:r>
      <w:r>
        <w:rPr>
          <w:rFonts w:ascii="宋体" w:hAnsi="宋体" w:cs="宋体"/>
          <w:szCs w:val="24"/>
        </w:rPr>
        <w:t>保证金等其他费用的</w:t>
      </w:r>
      <w:r>
        <w:rPr>
          <w:rFonts w:ascii="宋体" w:hAnsi="宋体" w:cs="宋体" w:hint="eastAsia"/>
          <w:szCs w:val="24"/>
        </w:rPr>
        <w:t>缴纳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则在会提示</w:t>
      </w:r>
      <w:r>
        <w:rPr>
          <w:rFonts w:ascii="宋体" w:hAnsi="宋体" w:cs="宋体" w:hint="eastAsia"/>
          <w:szCs w:val="24"/>
        </w:rPr>
        <w:t>请先</w:t>
      </w:r>
      <w:r>
        <w:rPr>
          <w:rFonts w:ascii="宋体" w:hAnsi="宋体" w:cs="宋体"/>
          <w:szCs w:val="24"/>
        </w:rPr>
        <w:t>缴纳</w:t>
      </w:r>
      <w:r>
        <w:rPr>
          <w:rFonts w:ascii="宋体" w:hAnsi="宋体" w:cs="宋体" w:hint="eastAsia"/>
          <w:szCs w:val="24"/>
        </w:rPr>
        <w:t>对应的费用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 w:hint="eastAsia"/>
          <w:szCs w:val="24"/>
        </w:rPr>
        <w:t>暂时无法</w:t>
      </w:r>
      <w:r>
        <w:rPr>
          <w:rFonts w:ascii="宋体" w:hAnsi="宋体" w:cs="宋体"/>
          <w:szCs w:val="24"/>
        </w:rPr>
        <w:t>进入报价页面。</w:t>
      </w:r>
      <w:r>
        <w:rPr>
          <w:rFonts w:ascii="宋体" w:hAnsi="宋体" w:cs="宋体" w:hint="eastAsia"/>
          <w:szCs w:val="24"/>
        </w:rPr>
        <w:t>缴纳完成后才能进入</w:t>
      </w:r>
      <w:r>
        <w:rPr>
          <w:rFonts w:ascii="MS PGothic" w:eastAsia="MS PGothic" w:hAnsi="MS PGothic" w:cs="MS PGothic"/>
          <w:szCs w:val="24"/>
        </w:rPr>
        <w:t>）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报价页面需要填写供应商负责此项目的联系人姓名和联系电话。然后可根据实际情况填写税前合价、税率、税前分项报价、税后分项报价。注：（系统会根据供应商填写的税前合价以及税率自动计算出税后合价。系统要求金额输入最大两位小数，请供应商根据情况调整报价）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107430" cy="3765550"/>
            <wp:effectExtent l="0" t="0" r="762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MS PGothic" w:eastAsiaTheme="minorEastAsia" w:hAnsi="MS PGothic" w:cs="MS PGothic"/>
          <w:szCs w:val="24"/>
        </w:rPr>
      </w:pPr>
      <w:r>
        <w:rPr>
          <w:rFonts w:ascii="宋体" w:hAnsi="宋体" w:cs="宋体" w:hint="eastAsia"/>
          <w:szCs w:val="24"/>
        </w:rPr>
        <w:t>当报价明细比较多时，供应商也可以选择导出清单明细为</w:t>
      </w:r>
      <w:r>
        <w:rPr>
          <w:rFonts w:ascii="宋体" w:hAnsi="宋体" w:cs="宋体" w:hint="eastAsia"/>
          <w:szCs w:val="24"/>
        </w:rPr>
        <w:t>excel</w:t>
      </w:r>
      <w:r>
        <w:rPr>
          <w:rFonts w:ascii="宋体" w:hAnsi="宋体" w:cs="宋体" w:hint="eastAsia"/>
          <w:szCs w:val="24"/>
        </w:rPr>
        <w:t>表格，填写相应的信息后，</w:t>
      </w:r>
      <w:r>
        <w:rPr>
          <w:rFonts w:ascii="宋体" w:hAnsi="宋体" w:cs="宋体" w:hint="eastAsia"/>
          <w:szCs w:val="24"/>
        </w:rPr>
        <w:t>再导入报价的方式进行报价。</w:t>
      </w:r>
      <w:r>
        <w:rPr>
          <w:rFonts w:ascii="MS PGothic" w:eastAsia="MS PGothic" w:hAnsi="MS PGothic" w:cs="MS PGothic"/>
          <w:szCs w:val="24"/>
        </w:rPr>
        <w:t>（</w:t>
      </w:r>
      <w:r>
        <w:rPr>
          <w:rFonts w:ascii="宋体" w:hAnsi="宋体" w:cs="宋体"/>
          <w:szCs w:val="24"/>
        </w:rPr>
        <w:t>注意</w:t>
      </w:r>
      <w:r>
        <w:rPr>
          <w:rFonts w:ascii="MS PGothic" w:eastAsia="MS PGothic" w:hAnsi="MS PGothic" w:cs="MS PGothic"/>
          <w:szCs w:val="24"/>
        </w:rPr>
        <w:t>：</w:t>
      </w:r>
      <w:r>
        <w:rPr>
          <w:rFonts w:ascii="宋体" w:hAnsi="宋体" w:cs="宋体"/>
          <w:szCs w:val="24"/>
        </w:rPr>
        <w:t>导出清单明细后</w:t>
      </w:r>
      <w:r>
        <w:rPr>
          <w:rFonts w:ascii="宋体" w:hAnsi="宋体" w:cs="宋体" w:hint="eastAsia"/>
          <w:szCs w:val="24"/>
        </w:rPr>
        <w:t>的</w:t>
      </w:r>
      <w:r>
        <w:rPr>
          <w:rFonts w:ascii="宋体" w:hAnsi="宋体" w:cs="宋体"/>
          <w:szCs w:val="24"/>
        </w:rPr>
        <w:t>excel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请勿修改其中的格式和</w:t>
      </w:r>
      <w:r>
        <w:rPr>
          <w:rFonts w:ascii="宋体" w:hAnsi="宋体" w:cs="宋体" w:hint="eastAsia"/>
          <w:szCs w:val="24"/>
        </w:rPr>
        <w:t>固定</w:t>
      </w:r>
      <w:r>
        <w:rPr>
          <w:rFonts w:ascii="宋体" w:hAnsi="宋体" w:cs="宋体"/>
          <w:szCs w:val="24"/>
        </w:rPr>
        <w:t>内容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否则可能导致报价数据无法正常导入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/>
          <w:szCs w:val="24"/>
        </w:rPr>
        <w:t>影响报价操作。</w:t>
      </w:r>
      <w:r>
        <w:rPr>
          <w:rFonts w:ascii="MS PGothic" w:eastAsia="MS PGothic" w:hAnsi="MS PGothic" w:cs="MS PGothic"/>
          <w:szCs w:val="24"/>
        </w:rPr>
        <w:t>）</w:t>
      </w:r>
    </w:p>
    <w:p w:rsidR="00B216F9" w:rsidRDefault="00F651AC">
      <w:pPr>
        <w:pStyle w:val="2"/>
      </w:pPr>
      <w:bookmarkStart w:id="17" w:name="_Toc50991124"/>
      <w:r>
        <w:rPr>
          <w:rFonts w:hint="eastAsia"/>
        </w:rPr>
        <w:t>7</w:t>
      </w:r>
      <w:r>
        <w:t xml:space="preserve">. </w:t>
      </w:r>
      <w:r>
        <w:rPr>
          <w:rFonts w:hint="eastAsia"/>
        </w:rPr>
        <w:t>采购答疑</w:t>
      </w:r>
      <w:bookmarkEnd w:id="17"/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询价项目，专家在评审该过程中可能会对供应商的资质、价格等不清楚的地方提出疑问。供应商可以在“评审答复”页面，对评审的问题进行回答，或提出必要的澄清。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/>
          <w:noProof/>
          <w:szCs w:val="24"/>
        </w:rPr>
        <w:lastRenderedPageBreak/>
        <w:drawing>
          <wp:inline distT="0" distB="0" distL="0" distR="0">
            <wp:extent cx="6107430" cy="2672715"/>
            <wp:effectExtent l="0" t="0" r="762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在列表页中，供应商可以选择希望答复的评审项目，以及评审的问题。点击“</w:t>
      </w:r>
      <w:r>
        <w:rPr>
          <w:rFonts w:ascii="宋体" w:hAnsi="宋体" w:cs="宋体"/>
          <w:szCs w:val="24"/>
        </w:rPr>
        <w:t>答复</w:t>
      </w:r>
      <w:r>
        <w:rPr>
          <w:rFonts w:ascii="宋体" w:hAnsi="宋体" w:cs="宋体" w:hint="eastAsia"/>
          <w:szCs w:val="24"/>
        </w:rPr>
        <w:t>”</w:t>
      </w:r>
      <w:r>
        <w:rPr>
          <w:rFonts w:ascii="宋体" w:hAnsi="宋体" w:cs="宋体"/>
          <w:szCs w:val="24"/>
        </w:rPr>
        <w:t>按钮</w:t>
      </w:r>
      <w:r>
        <w:rPr>
          <w:rFonts w:ascii="MS PGothic" w:eastAsia="MS PGothic" w:hAnsi="MS PGothic" w:cs="MS PGothic"/>
          <w:szCs w:val="24"/>
        </w:rPr>
        <w:t>，</w:t>
      </w:r>
      <w:r>
        <w:rPr>
          <w:rFonts w:ascii="宋体" w:hAnsi="宋体" w:cs="宋体" w:hint="eastAsia"/>
          <w:szCs w:val="24"/>
        </w:rPr>
        <w:t>进行回答。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107430" cy="3190240"/>
            <wp:effectExtent l="0" t="0" r="762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F651AC">
      <w:pPr>
        <w:pStyle w:val="2"/>
      </w:pPr>
      <w:bookmarkStart w:id="18" w:name="_Toc50991125"/>
      <w:r>
        <w:rPr>
          <w:rFonts w:hint="eastAsia"/>
        </w:rPr>
        <w:t>8</w:t>
      </w:r>
      <w:r w:rsidR="008B2F3A">
        <w:t>.</w:t>
      </w:r>
      <w:r>
        <w:rPr>
          <w:rFonts w:hint="eastAsia"/>
        </w:rPr>
        <w:t>查看成交结果公示</w:t>
      </w:r>
      <w:bookmarkEnd w:id="18"/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采购代理发布成交结果公示后，供应商可以在“成交结果公示”页签进行查看。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107430" cy="2733675"/>
            <wp:effectExtent l="0" t="0" r="7620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点击“查看”按钮，可以查看公示详情。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107430" cy="3260725"/>
            <wp:effectExtent l="0" t="0" r="762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26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F651AC">
      <w:pPr>
        <w:pStyle w:val="2"/>
      </w:pPr>
      <w:bookmarkStart w:id="19" w:name="_Toc50991126"/>
      <w:r>
        <w:rPr>
          <w:rFonts w:hint="eastAsia"/>
        </w:rPr>
        <w:t>9</w:t>
      </w:r>
      <w:r>
        <w:t>.</w:t>
      </w:r>
      <w:r>
        <w:rPr>
          <w:rFonts w:hint="eastAsia"/>
        </w:rPr>
        <w:t>支付平台服务费</w:t>
      </w:r>
      <w:bookmarkEnd w:id="19"/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供应商可以在“费用支付”页签下，支付对应项目的平台服务费。注：在支付平台服务费后，供应商才能看到结果通知书。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107430" cy="2786380"/>
            <wp:effectExtent l="0" t="0" r="762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点击“支付”按钮后，可以进入详情页面。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107430" cy="3361055"/>
            <wp:effectExtent l="0" t="0" r="762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在本页面完成支付即可。</w:t>
      </w: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F651AC">
      <w:pPr>
        <w:pStyle w:val="2"/>
      </w:pPr>
      <w:bookmarkStart w:id="20" w:name="_Toc50991127"/>
      <w:r>
        <w:rPr>
          <w:rFonts w:hint="eastAsia"/>
        </w:rPr>
        <w:t>1</w:t>
      </w:r>
      <w:r>
        <w:t>0.</w:t>
      </w:r>
      <w:r>
        <w:rPr>
          <w:rFonts w:hint="eastAsia"/>
        </w:rPr>
        <w:t>查看结果通知</w:t>
      </w:r>
      <w:bookmarkEnd w:id="20"/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供应商支付完平台服务费后，可以在“查看结果通知”页签下，查看结果通知书。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107430" cy="3241040"/>
            <wp:effectExtent l="0" t="0" r="762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3241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rFonts w:ascii="宋体" w:hAnsi="宋体" w:cs="宋体" w:hint="eastAsia"/>
          <w:szCs w:val="24"/>
        </w:rPr>
        <w:t>点击“查看”按钮，可以进入详情页查看详细信息。</w:t>
      </w:r>
    </w:p>
    <w:p w:rsidR="00B216F9" w:rsidRDefault="00F651AC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  <w:r>
        <w:rPr>
          <w:noProof/>
        </w:rPr>
        <w:drawing>
          <wp:inline distT="0" distB="0" distL="0" distR="0">
            <wp:extent cx="6107430" cy="1981835"/>
            <wp:effectExtent l="0" t="0" r="762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07430" cy="198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hAnsi="宋体" w:cs="宋体"/>
          <w:szCs w:val="24"/>
        </w:rPr>
      </w:pPr>
    </w:p>
    <w:p w:rsidR="00B216F9" w:rsidRDefault="00B216F9">
      <w:pPr>
        <w:spacing w:line="360" w:lineRule="auto"/>
        <w:ind w:firstLineChars="200" w:firstLine="480"/>
        <w:rPr>
          <w:rFonts w:ascii="宋体" w:eastAsiaTheme="minorEastAsia" w:hAnsi="宋体" w:cs="宋体"/>
          <w:szCs w:val="24"/>
        </w:rPr>
      </w:pPr>
    </w:p>
    <w:sectPr w:rsidR="00B216F9">
      <w:pgSz w:w="11900" w:h="16838"/>
      <w:pgMar w:top="1440" w:right="902" w:bottom="941" w:left="902" w:header="0" w:footer="0" w:gutter="0"/>
      <w:cols w:space="720" w:equalWidth="0">
        <w:col w:w="961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1AC" w:rsidRDefault="00F651AC">
      <w:r>
        <w:separator/>
      </w:r>
    </w:p>
  </w:endnote>
  <w:endnote w:type="continuationSeparator" w:id="0">
    <w:p w:rsidR="00F651AC" w:rsidRDefault="00F65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5123539"/>
      <w:docPartObj>
        <w:docPartGallery w:val="AutoText"/>
      </w:docPartObj>
    </w:sdtPr>
    <w:sdtEndPr/>
    <w:sdtContent>
      <w:p w:rsidR="00B216F9" w:rsidRDefault="00F651A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F3A" w:rsidRPr="008B2F3A">
          <w:rPr>
            <w:noProof/>
            <w:lang w:val="zh-CN"/>
          </w:rPr>
          <w:t>1</w:t>
        </w:r>
        <w:r>
          <w:fldChar w:fldCharType="end"/>
        </w:r>
      </w:p>
    </w:sdtContent>
  </w:sdt>
  <w:p w:rsidR="00B216F9" w:rsidRDefault="00B216F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1AC" w:rsidRDefault="00F651AC">
      <w:r>
        <w:separator/>
      </w:r>
    </w:p>
  </w:footnote>
  <w:footnote w:type="continuationSeparator" w:id="0">
    <w:p w:rsidR="00F651AC" w:rsidRDefault="00F651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49"/>
    <w:rsid w:val="000170BB"/>
    <w:rsid w:val="00040818"/>
    <w:rsid w:val="000A5153"/>
    <w:rsid w:val="000B779E"/>
    <w:rsid w:val="00100788"/>
    <w:rsid w:val="001036C4"/>
    <w:rsid w:val="001148E1"/>
    <w:rsid w:val="00134C5D"/>
    <w:rsid w:val="001A156C"/>
    <w:rsid w:val="001E6C77"/>
    <w:rsid w:val="001F01DB"/>
    <w:rsid w:val="00210B14"/>
    <w:rsid w:val="002267F7"/>
    <w:rsid w:val="00272B75"/>
    <w:rsid w:val="002C0A55"/>
    <w:rsid w:val="002E3A07"/>
    <w:rsid w:val="00333B4A"/>
    <w:rsid w:val="00346B7B"/>
    <w:rsid w:val="00352887"/>
    <w:rsid w:val="003B4139"/>
    <w:rsid w:val="003C752A"/>
    <w:rsid w:val="003D0562"/>
    <w:rsid w:val="004B31E3"/>
    <w:rsid w:val="004E3F66"/>
    <w:rsid w:val="0050138A"/>
    <w:rsid w:val="00520E83"/>
    <w:rsid w:val="00576DCE"/>
    <w:rsid w:val="005B1B49"/>
    <w:rsid w:val="00710BEB"/>
    <w:rsid w:val="007144DB"/>
    <w:rsid w:val="007E61F3"/>
    <w:rsid w:val="0086494C"/>
    <w:rsid w:val="008A582A"/>
    <w:rsid w:val="008B2F3A"/>
    <w:rsid w:val="008E2C49"/>
    <w:rsid w:val="009151A2"/>
    <w:rsid w:val="009244D9"/>
    <w:rsid w:val="00955E98"/>
    <w:rsid w:val="00971460"/>
    <w:rsid w:val="009834FC"/>
    <w:rsid w:val="00A40D42"/>
    <w:rsid w:val="00A641FD"/>
    <w:rsid w:val="00A9196D"/>
    <w:rsid w:val="00AB5B82"/>
    <w:rsid w:val="00B216F9"/>
    <w:rsid w:val="00B265F5"/>
    <w:rsid w:val="00B36763"/>
    <w:rsid w:val="00B55FD5"/>
    <w:rsid w:val="00D068F3"/>
    <w:rsid w:val="00D5660E"/>
    <w:rsid w:val="00D9607F"/>
    <w:rsid w:val="00DA212D"/>
    <w:rsid w:val="00DA7B28"/>
    <w:rsid w:val="00E204E4"/>
    <w:rsid w:val="00EB23D8"/>
    <w:rsid w:val="00EC7788"/>
    <w:rsid w:val="00ED4583"/>
    <w:rsid w:val="00EE3D8B"/>
    <w:rsid w:val="00F47B27"/>
    <w:rsid w:val="00F5578B"/>
    <w:rsid w:val="00F651AC"/>
    <w:rsid w:val="00FB2603"/>
    <w:rsid w:val="3127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 w:qFormat="1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hAnsiTheme="majorHAnsi" w:cstheme="majorBidi"/>
      <w:b/>
      <w:bCs/>
      <w:sz w:val="30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28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pPr>
      <w:ind w:leftChars="400" w:left="840"/>
    </w:pPr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</w:style>
  <w:style w:type="paragraph" w:styleId="20">
    <w:name w:val="toc 2"/>
    <w:basedOn w:val="a"/>
    <w:next w:val="a"/>
    <w:uiPriority w:val="39"/>
    <w:unhideWhenUsed/>
    <w:qFormat/>
    <w:pPr>
      <w:ind w:leftChars="200" w:left="420"/>
    </w:p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hAnsiTheme="majorHAnsi" w:cstheme="majorBidi"/>
      <w:b/>
      <w:bCs/>
      <w:sz w:val="30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28"/>
      <w:szCs w:val="32"/>
    </w:rPr>
  </w:style>
  <w:style w:type="character" w:customStyle="1" w:styleId="4Char">
    <w:name w:val="标题 4 Char"/>
    <w:basedOn w:val="a0"/>
    <w:link w:val="4"/>
    <w:uiPriority w:val="9"/>
    <w:rPr>
      <w:rFonts w:asciiTheme="majorHAnsi" w:hAnsiTheme="majorHAnsi" w:cstheme="majorBidi"/>
      <w:b/>
      <w:bCs/>
      <w:sz w:val="28"/>
      <w:szCs w:val="28"/>
    </w:rPr>
  </w:style>
  <w:style w:type="paragraph" w:styleId="a6">
    <w:name w:val="Balloon Text"/>
    <w:basedOn w:val="a"/>
    <w:link w:val="Char1"/>
    <w:uiPriority w:val="99"/>
    <w:semiHidden/>
    <w:unhideWhenUsed/>
    <w:rsid w:val="008B2F3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B2F3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 w:qFormat="1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hAnsiTheme="majorHAnsi" w:cstheme="majorBidi"/>
      <w:b/>
      <w:bCs/>
      <w:sz w:val="30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28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pPr>
      <w:ind w:leftChars="400" w:left="840"/>
    </w:pPr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</w:style>
  <w:style w:type="paragraph" w:styleId="20">
    <w:name w:val="toc 2"/>
    <w:basedOn w:val="a"/>
    <w:next w:val="a"/>
    <w:uiPriority w:val="39"/>
    <w:unhideWhenUsed/>
    <w:qFormat/>
    <w:pPr>
      <w:ind w:leftChars="200" w:left="420"/>
    </w:pPr>
  </w:style>
  <w:style w:type="character" w:styleId="a5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Pr>
      <w:rFonts w:asciiTheme="majorHAnsi" w:hAnsiTheme="majorHAnsi" w:cstheme="majorBidi"/>
      <w:b/>
      <w:bCs/>
      <w:sz w:val="30"/>
      <w:szCs w:val="32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28"/>
      <w:szCs w:val="32"/>
    </w:rPr>
  </w:style>
  <w:style w:type="character" w:customStyle="1" w:styleId="4Char">
    <w:name w:val="标题 4 Char"/>
    <w:basedOn w:val="a0"/>
    <w:link w:val="4"/>
    <w:uiPriority w:val="9"/>
    <w:rPr>
      <w:rFonts w:asciiTheme="majorHAnsi" w:hAnsiTheme="majorHAnsi" w:cstheme="majorBidi"/>
      <w:b/>
      <w:bCs/>
      <w:sz w:val="28"/>
      <w:szCs w:val="28"/>
    </w:rPr>
  </w:style>
  <w:style w:type="paragraph" w:styleId="a6">
    <w:name w:val="Balloon Text"/>
    <w:basedOn w:val="a"/>
    <w:link w:val="Char1"/>
    <w:uiPriority w:val="99"/>
    <w:semiHidden/>
    <w:unhideWhenUsed/>
    <w:rsid w:val="008B2F3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B2F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18</Pages>
  <Words>536</Words>
  <Characters>3056</Characters>
  <Application>Microsoft Office Word</Application>
  <DocSecurity>0</DocSecurity>
  <Lines>25</Lines>
  <Paragraphs>7</Paragraphs>
  <ScaleCrop>false</ScaleCrop>
  <Company>Win10NeT.COM</Company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XiaZaiMa.COM</cp:lastModifiedBy>
  <cp:revision>40</cp:revision>
  <dcterms:created xsi:type="dcterms:W3CDTF">2017-05-26T14:38:00Z</dcterms:created>
  <dcterms:modified xsi:type="dcterms:W3CDTF">2020-09-14T07:51:00Z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